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4252"/>
          </w:tcPr>
          <w:p>
            <w:pPr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32000" cy="103247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variant_1_architectural_light_300dpi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000" cy="103247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613"/>
          </w:tcPr>
          <w:p>
            <w:pPr>
              <w:spacing w:line="276" w:lineRule="auto" w:after="0"/>
              <w:jc w:val="right"/>
            </w:pPr>
            <w:r>
              <w:rPr>
                <w:rFonts w:ascii="Segoe UI" w:hAnsi="Segoe UI"/>
                <w:b/>
                <w:color w:val="14171C"/>
                <w:sz w:val="20"/>
              </w:rPr>
              <w:t>ООО «ФЕРО»</w:t>
              <w:br/>
            </w:r>
            <w:r>
              <w:rPr>
                <w:rFonts w:ascii="Segoe UI" w:hAnsi="Segoe UI"/>
                <w:color w:val="57606A"/>
                <w:sz w:val="17"/>
              </w:rPr>
              <w:t>FACADE ENGINEERING BUERO</w:t>
              <w:br/>
            </w:r>
            <w:r>
              <w:rPr>
                <w:rFonts w:ascii="Segoe UI" w:hAnsi="Segoe UI"/>
                <w:color w:val="444C56"/>
                <w:sz w:val="17"/>
              </w:rPr>
              <w:t>198035, г. Санкт-Петербург, ул. Невельская, д. 18, пом. 46</w:t>
              <w:br/>
              <w:t>Тел.: 8 (812) 603 21 11 • E-mail: info@ferospb.ru</w:t>
              <w:br/>
              <w:t>Сайт: ferospb.ru</w:t>
            </w:r>
          </w:p>
        </w:tc>
      </w:tr>
    </w:tbl>
    <w:p>
      <w:pPr>
        <w:spacing w:before="120" w:after="280"/>
        <w:pBdr>
          <w:bottom w:val="single" w:sz="18" w:space="1" w:color="252A31"/>
        </w:pBdr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33"/>
        <w:gridCol w:w="4933"/>
      </w:tblGrid>
      <w:tr>
        <w:tc>
          <w:tcPr>
            <w:tcW w:type="dxa" w:w="4819"/>
          </w:tcPr>
          <w:p>
            <w:pPr>
              <w:spacing w:line="288" w:lineRule="auto"/>
            </w:pPr>
            <w:r>
              <w:rPr>
                <w:rFonts w:ascii="Segoe UI" w:hAnsi="Segoe UI"/>
                <w:sz w:val="19"/>
              </w:rPr>
              <w:t>Ref. No. 26/09-02 Date: September 06, 2026</w:t>
              <w:br/>
              <w:t>In reply to: ____________ Date: ____________</w:t>
            </w:r>
          </w:p>
        </w:tc>
        <w:tc>
          <w:tcPr>
            <w:tcW w:type="dxa" w:w="5046"/>
          </w:tcPr>
          <w:p>
            <w:pPr>
              <w:spacing w:line="288" w:lineRule="auto"/>
              <w:jc w:val="right"/>
            </w:pPr>
            <w:r>
              <w:rPr>
                <w:rFonts w:ascii="Segoe UI" w:hAnsi="Segoe UI"/>
                <w:sz w:val="19"/>
              </w:rPr>
              <w:t>To: Head of Facade Engineering</w:t>
              <w:br/>
              <w:t>Main Contractor / Developer</w:t>
              <w:br/>
              <w:t>St. Petersburg</w:t>
            </w:r>
          </w:p>
        </w:tc>
      </w:tr>
    </w:tbl>
    <w:p>
      <w:pPr>
        <w:spacing w:before="480" w:after="320"/>
        <w:jc w:val="center"/>
      </w:pPr>
      <w:r>
        <w:rPr>
          <w:rFonts w:ascii="Segoe UI" w:hAnsi="Segoe UI"/>
          <w:b/>
          <w:color w:val="14171C"/>
          <w:sz w:val="26"/>
        </w:rPr>
        <w:t>COMMERCIAL PROPOSAL</w:t>
      </w:r>
    </w:p>
    <w:p>
      <w:pPr>
        <w:spacing w:after="160" w:line="300" w:lineRule="auto"/>
        <w:ind w:firstLine="567"/>
      </w:pPr>
      <w:r>
        <w:rPr>
          <w:rFonts w:ascii="Segoe UI" w:hAnsi="Segoe UI"/>
          <w:sz w:val="20"/>
        </w:rPr>
        <w:t>FERO Facade Buero confirms its full readiness to deliver comprehensive engineering design, 3D parametric calculations, and structural documentation for bespoke ventilated facades and curtain wall architectural systems.</w:t>
      </w:r>
    </w:p>
    <w:p>
      <w:pPr>
        <w:spacing w:after="80"/>
      </w:pPr>
      <w:r>
        <w:rPr>
          <w:rFonts w:ascii="Segoe UI" w:hAnsi="Segoe UI"/>
          <w:b/>
          <w:sz w:val="20"/>
        </w:rPr>
        <w:t>Our engineering scope of services encompasses:</w:t>
      </w:r>
    </w:p>
    <w:p>
      <w:pPr>
        <w:pStyle w:val="ListBullet"/>
        <w:spacing w:after="60" w:line="276" w:lineRule="auto"/>
      </w:pPr>
      <w:r>
        <w:rPr>
          <w:rFonts w:ascii="Segoe UI" w:hAnsi="Segoe UI"/>
          <w:sz w:val="19"/>
        </w:rPr>
        <w:t>Full architectural and structural engineering (Stages Concept, Scheme Design, Shop Drawings);</w:t>
      </w:r>
    </w:p>
    <w:p>
      <w:pPr>
        <w:pStyle w:val="ListBullet"/>
        <w:spacing w:after="60" w:line="276" w:lineRule="auto"/>
      </w:pPr>
      <w:r>
        <w:rPr>
          <w:rFonts w:ascii="Segoe UI" w:hAnsi="Segoe UI"/>
          <w:sz w:val="19"/>
        </w:rPr>
        <w:t>Aerodynamic wind load simulations, finite element structural calculations and thermal analysis;</w:t>
      </w:r>
    </w:p>
    <w:p>
      <w:pPr>
        <w:pStyle w:val="ListBullet"/>
        <w:spacing w:after="60" w:line="276" w:lineRule="auto"/>
      </w:pPr>
      <w:r>
        <w:rPr>
          <w:rFonts w:ascii="Segoe UI" w:hAnsi="Segoe UI"/>
          <w:sz w:val="19"/>
        </w:rPr>
        <w:t>BIM LOD 400 coordination, cassette manufacturing nesting layouts and assembly drawings;</w:t>
      </w:r>
    </w:p>
    <w:p>
      <w:pPr>
        <w:pStyle w:val="ListBullet"/>
        <w:spacing w:after="60" w:line="276" w:lineRule="auto"/>
      </w:pPr>
      <w:r>
        <w:rPr>
          <w:rFonts w:ascii="Segoe UI" w:hAnsi="Segoe UI"/>
          <w:sz w:val="19"/>
        </w:rPr>
        <w:t>On-site quality supervision, acoustic certification, and technical facade audit.</w:t>
      </w:r>
    </w:p>
    <w:p>
      <w:pPr>
        <w:spacing w:before="160" w:after="560" w:line="300" w:lineRule="auto"/>
        <w:ind w:firstLine="567"/>
      </w:pPr>
      <w:r>
        <w:rPr>
          <w:rFonts w:ascii="Segoe UI" w:hAnsi="Segoe UI"/>
          <w:sz w:val="20"/>
        </w:rPr>
        <w:t>The delivery timeline for the initial engineering submission is 10 business days upon receipt of survey data.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c>
          <w:tcPr>
            <w:tcW w:type="dxa" w:w="3969"/>
          </w:tcPr>
          <w:p>
            <w:r>
              <w:rPr>
                <w:rFonts w:ascii="Segoe UI" w:hAnsi="Segoe UI"/>
                <w:b/>
                <w:sz w:val="20"/>
              </w:rPr>
              <w:t>Managing Director FERO LLC</w:t>
            </w:r>
          </w:p>
        </w:tc>
        <w:tc>
          <w:tcPr>
            <w:tcW w:type="dxa" w:w="2268"/>
          </w:tcPr>
          <w:p>
            <w:pPr>
              <w:jc w:val="center"/>
            </w:pPr>
            <w:r>
              <w:rPr>
                <w:rFonts w:ascii="Segoe UI" w:hAnsi="Segoe UI"/>
                <w:color w:val="888888"/>
                <w:sz w:val="16"/>
              </w:rPr>
              <w:t>________________</w:t>
              <w:br/>
              <w:t>(подпись / М.П.)</w:t>
            </w:r>
          </w:p>
        </w:tc>
        <w:tc>
          <w:tcPr>
            <w:tcW w:type="dxa" w:w="3628"/>
          </w:tcPr>
          <w:p>
            <w:pPr>
              <w:jc w:val="right"/>
            </w:pPr>
            <w:r>
              <w:rPr>
                <w:rFonts w:ascii="Segoe UI" w:hAnsi="Segoe UI"/>
                <w:b/>
                <w:sz w:val="20"/>
              </w:rPr>
              <w:t>Igor V. Petrov</w:t>
            </w:r>
          </w:p>
        </w:tc>
      </w:tr>
    </w:tbl>
    <w:sectPr w:rsidR="00FC693F" w:rsidRPr="0006063C" w:rsidSect="00034616">
      <w:footerReference w:type="default" r:id="rId10"/>
      <w:pgSz w:w="11906" w:h="16838"/>
      <w:pgMar w:top="850" w:right="1020" w:bottom="85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line="276" w:lineRule="auto"/>
      <w:jc w:val="center"/>
    </w:pPr>
    <w:r>
      <w:rPr>
        <w:rFonts w:ascii="Segoe UI" w:hAnsi="Segoe UI"/>
        <w:color w:val="666666"/>
        <w:sz w:val="16"/>
      </w:rPr>
      <w:t>ООО «ФЕРО» • ИНН 7805788436 • КПП 780501001 • ОГРН 1227800006060</w:t>
      <w:br/>
      <w:t>Филиал «Центральный» Банка ВТБ (ПАО) в г. Москве • БИК 044525411</w:t>
      <w:br/>
      <w:t>Р/сч 40702810328650002961 • К/сч 30101810145250000411 • ferospb.ru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